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45F94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691DCA8A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608F9C46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5829955E">
      <w:pPr>
        <w:spacing w:before="0" w:after="200" w:line="360" w:lineRule="auto"/>
        <w:jc w:val="center"/>
      </w:pPr>
      <w:r>
        <w:rPr>
          <w:rFonts w:ascii="Times New Roman" w:hAnsi="Times New Roman" w:eastAsia="黑体"/>
          <w:b/>
          <w:color w:val="1F497D"/>
          <w:sz w:val="64"/>
        </w:rPr>
        <w:t>能碳监控系统</w:t>
      </w:r>
    </w:p>
    <w:p w14:paraId="165830FA">
      <w:pPr>
        <w:spacing w:before="0" w:after="120" w:line="360" w:lineRule="auto"/>
        <w:jc w:val="center"/>
      </w:pPr>
      <w:r>
        <w:rPr>
          <w:rFonts w:ascii="Times New Roman" w:hAnsi="Times New Roman" w:eastAsia="黑体"/>
          <w:b/>
          <w:color w:val="1F497D"/>
          <w:sz w:val="64"/>
        </w:rPr>
        <w:t>智能化赋能综合方案</w:t>
      </w:r>
    </w:p>
    <w:p w14:paraId="148E3BFF">
      <w:pPr>
        <w:spacing w:before="120" w:after="0" w:line="360" w:lineRule="auto"/>
        <w:jc w:val="center"/>
      </w:pPr>
      <w:r>
        <w:rPr>
          <w:rFonts w:ascii="Times New Roman" w:hAnsi="Times New Roman" w:eastAsia="宋体"/>
          <w:color w:val="2E74B5"/>
          <w:sz w:val="28"/>
        </w:rPr>
        <w:t xml:space="preserve">OpenClaw 多 Agent 专家体系 × </w:t>
      </w:r>
      <w:r>
        <w:rPr>
          <w:rFonts w:hint="eastAsia" w:ascii="Times New Roman" w:hAnsi="Times New Roman" w:eastAsia="宋体"/>
          <w:color w:val="2E74B5"/>
          <w:sz w:val="28"/>
          <w:lang w:val="en-US" w:eastAsia="zh-CN"/>
        </w:rPr>
        <w:t>能碳通</w:t>
      </w:r>
      <w:r>
        <w:rPr>
          <w:rFonts w:ascii="Times New Roman" w:hAnsi="Times New Roman" w:eastAsia="宋体"/>
          <w:color w:val="2E74B5"/>
          <w:sz w:val="28"/>
        </w:rPr>
        <w:t>平台</w:t>
      </w:r>
    </w:p>
    <w:p w14:paraId="751A9996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693E85FE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4830C47F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09BFC534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49FAD758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br w:type="page"/>
      </w:r>
    </w:p>
    <w:sdt>
      <w:sdtPr>
        <w:rPr>
          <w:rFonts w:hint="eastAsia" w:ascii="宋体" w:hAnsi="宋体" w:eastAsia="宋体" w:cs="宋体"/>
          <w:sz w:val="22"/>
          <w:szCs w:val="22"/>
          <w:lang w:val="en-US" w:eastAsia="en-US" w:bidi="ar-SA"/>
        </w:rPr>
        <w:id w:val="147471265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color w:val="1F497D"/>
          <w:sz w:val="22"/>
          <w:szCs w:val="22"/>
          <w:lang w:val="en-US" w:eastAsia="en-US" w:bidi="ar-SA"/>
        </w:rPr>
      </w:sdtEndPr>
      <w:sdtContent>
        <w:p w14:paraId="7FF2C77C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hint="eastAsia" w:ascii="宋体" w:hAnsi="宋体" w:eastAsia="宋体" w:cs="宋体"/>
              <w:sz w:val="22"/>
              <w:szCs w:val="22"/>
            </w:rPr>
          </w:pPr>
          <w:r>
            <w:rPr>
              <w:rFonts w:hint="eastAsia" w:ascii="宋体" w:hAnsi="宋体" w:eastAsia="宋体" w:cs="宋体"/>
              <w:sz w:val="22"/>
              <w:szCs w:val="22"/>
            </w:rPr>
            <w:t>目录</w:t>
          </w:r>
        </w:p>
        <w:p w14:paraId="33959BB8">
          <w:pPr>
            <w:pStyle w:val="26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b/>
              <w:color w:val="1F497D"/>
              <w:sz w:val="32"/>
            </w:rPr>
            <w:fldChar w:fldCharType="begin"/>
          </w:r>
          <w:r>
            <w:rPr>
              <w:rFonts w:ascii="Times New Roman" w:hAnsi="Times New Roman" w:eastAsia="黑体"/>
              <w:b/>
              <w:color w:val="1F497D"/>
              <w:sz w:val="32"/>
            </w:rPr>
            <w:instrText xml:space="preserve">TOC \o "1-2" \h \u </w:instrText>
          </w:r>
          <w:r>
            <w:rPr>
              <w:rFonts w:ascii="Times New Roman" w:hAnsi="Times New Roman" w:eastAsia="黑体"/>
              <w:b/>
              <w:color w:val="1F497D"/>
              <w:sz w:val="32"/>
            </w:rPr>
            <w:fldChar w:fldCharType="separate"/>
          </w: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_Toc29445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</w:rPr>
            <w:t xml:space="preserve">  OpenClaw + </w:t>
          </w:r>
          <w:r>
            <w:rPr>
              <w:rFonts w:hint="eastAsia" w:ascii="宋体" w:hAnsi="宋体" w:eastAsia="宋体" w:cs="宋体"/>
              <w:lang w:val="en-US" w:eastAsia="zh-CN"/>
            </w:rPr>
            <w:t>能碳通</w:t>
          </w:r>
          <w:r>
            <w:rPr>
              <w:rFonts w:hint="eastAsia" w:ascii="宋体" w:hAnsi="宋体" w:eastAsia="宋体" w:cs="宋体"/>
            </w:rPr>
            <w:t>集成架构方案</w:t>
          </w:r>
          <w:r>
            <w:tab/>
          </w:r>
          <w:r>
            <w:fldChar w:fldCharType="begin"/>
          </w:r>
          <w:r>
            <w:instrText xml:space="preserve"> PAGEREF _Toc29445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0ED1E82C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_Toc29786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</w:rPr>
            <w:t>.1  系统架构总览</w:t>
          </w:r>
          <w:r>
            <w:tab/>
          </w:r>
          <w:r>
            <w:fldChar w:fldCharType="begin"/>
          </w:r>
          <w:r>
            <w:instrText xml:space="preserve"> PAGEREF _Toc29786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6E3A86E2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_Toc16355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</w:rPr>
            <w:t>.2  API 集成规范</w:t>
          </w:r>
          <w:r>
            <w:tab/>
          </w:r>
          <w:r>
            <w:fldChar w:fldCharType="begin"/>
          </w:r>
          <w:r>
            <w:instrText xml:space="preserve"> PAGEREF _Toc16355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1FF4F908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_Toc16477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</w:rPr>
            <w:t>.3  数据与交互流程</w:t>
          </w:r>
          <w:r>
            <w:tab/>
          </w:r>
          <w:r>
            <w:fldChar w:fldCharType="begin"/>
          </w:r>
          <w:r>
            <w:instrText xml:space="preserve"> PAGEREF _Toc16477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1323B668">
          <w:pPr>
            <w:pStyle w:val="26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_Toc24734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2</w:t>
          </w:r>
          <w:r>
            <w:rPr>
              <w:rFonts w:hint="eastAsia" w:ascii="宋体" w:hAnsi="宋体" w:eastAsia="宋体" w:cs="宋体"/>
            </w:rPr>
            <w:t xml:space="preserve">  </w:t>
          </w:r>
          <w:r>
            <w:rPr>
              <w:rFonts w:hint="eastAsia" w:ascii="宋体" w:hAnsi="宋体" w:eastAsia="宋体" w:cs="宋体"/>
              <w:lang w:val="en-US" w:eastAsia="zh-CN"/>
            </w:rPr>
            <w:t>能碳通</w:t>
          </w:r>
          <w:r>
            <w:rPr>
              <w:rFonts w:hint="eastAsia" w:ascii="宋体" w:hAnsi="宋体" w:eastAsia="宋体" w:cs="宋体"/>
            </w:rPr>
            <w:t>管理端 Skill 管理功能规划</w:t>
          </w:r>
          <w:r>
            <w:tab/>
          </w:r>
          <w:r>
            <w:fldChar w:fldCharType="begin"/>
          </w:r>
          <w:r>
            <w:instrText xml:space="preserve"> PAGEREF _Toc24734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6DBF82AE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_Toc31232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2</w:t>
          </w:r>
          <w:r>
            <w:rPr>
              <w:rFonts w:hint="eastAsia" w:ascii="宋体" w:hAnsi="宋体" w:eastAsia="宋体" w:cs="宋体"/>
            </w:rPr>
            <w:t>.</w:t>
          </w:r>
          <w:r>
            <w:rPr>
              <w:rFonts w:hint="eastAsia" w:ascii="宋体" w:hAnsi="宋体" w:eastAsia="宋体" w:cs="宋体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</w:rPr>
            <w:t xml:space="preserve">  功能模块规划</w:t>
          </w:r>
          <w:r>
            <w:tab/>
          </w:r>
          <w:r>
            <w:fldChar w:fldCharType="begin"/>
          </w:r>
          <w:r>
            <w:instrText xml:space="preserve"> PAGEREF _Toc31232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65FA5B5D">
          <w:pPr>
            <w:pStyle w:val="26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_Toc25048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eastAsia="宋体"/>
              <w:lang w:val="en-US" w:eastAsia="zh-CN"/>
            </w:rPr>
            <w:t>3</w:t>
          </w:r>
          <w:r>
            <w:t xml:space="preserve"> OpenClaw 安全机制</w:t>
          </w:r>
          <w:r>
            <w:tab/>
          </w:r>
          <w:r>
            <w:fldChar w:fldCharType="begin"/>
          </w:r>
          <w:r>
            <w:instrText xml:space="preserve"> PAGEREF _Toc25048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39A3998C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_Toc26373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eastAsia="宋体"/>
              <w:lang w:val="en-US" w:eastAsia="zh-CN"/>
            </w:rPr>
            <w:t>3</w:t>
          </w:r>
          <w:r>
            <w:t>.1 Skill 安全</w:t>
          </w:r>
          <w:r>
            <w:rPr>
              <w:rFonts w:hint="eastAsia" w:eastAsia="宋体"/>
              <w:lang w:val="en-US" w:eastAsia="zh-CN"/>
            </w:rPr>
            <w:t>检测与</w:t>
          </w:r>
          <w:r>
            <w:t>上传机制</w:t>
          </w:r>
          <w:r>
            <w:tab/>
          </w:r>
          <w:r>
            <w:fldChar w:fldCharType="begin"/>
          </w:r>
          <w:r>
            <w:instrText xml:space="preserve"> PAGEREF _Toc26373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1E2941C9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_Toc22351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eastAsia="宋体"/>
              <w:lang w:val="en-US" w:eastAsia="zh-CN"/>
            </w:rPr>
            <w:t>3</w:t>
          </w:r>
          <w:r>
            <w:t xml:space="preserve">.2 </w:t>
          </w:r>
          <w:r>
            <w:rPr>
              <w:rFonts w:hint="eastAsia" w:eastAsia="宋体"/>
              <w:lang w:val="en-US" w:eastAsia="zh-CN"/>
            </w:rPr>
            <w:t>用户使用</w:t>
          </w:r>
          <w:r>
            <w:t>安全权限管控</w:t>
          </w:r>
          <w:r>
            <w:tab/>
          </w:r>
          <w:r>
            <w:fldChar w:fldCharType="begin"/>
          </w:r>
          <w:r>
            <w:instrText xml:space="preserve"> PAGEREF _Toc22351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15C9F123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_Toc9516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eastAsia="宋体"/>
              <w:lang w:val="en-US" w:eastAsia="zh-CN"/>
            </w:rPr>
            <w:t>3</w:t>
          </w:r>
          <w:r>
            <w:t>.3 Prompt 注入与危险命令代码级检测机制</w:t>
          </w:r>
          <w:r>
            <w:tab/>
          </w:r>
          <w:r>
            <w:fldChar w:fldCharType="begin"/>
          </w:r>
          <w:r>
            <w:instrText xml:space="preserve"> PAGEREF _Toc9516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7F1C1D55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_Toc17621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eastAsia="宋体"/>
              <w:lang w:val="en-US" w:eastAsia="zh-CN"/>
            </w:rPr>
            <w:t>3</w:t>
          </w:r>
          <w:r>
            <w:t>.3.1 危险命令拦截</w:t>
          </w:r>
          <w:r>
            <w:tab/>
          </w:r>
          <w:r>
            <w:fldChar w:fldCharType="begin"/>
          </w:r>
          <w:r>
            <w:instrText xml:space="preserve"> PAGEREF _Toc17621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687C51BC">
          <w:pPr>
            <w:pStyle w:val="29"/>
            <w:tabs>
              <w:tab w:val="right" w:leader="dot" w:pos="8312"/>
            </w:tabs>
          </w:pPr>
          <w:r>
            <w:rPr>
              <w:rFonts w:ascii="Times New Roman" w:hAnsi="Times New Roman" w:eastAsia="黑体"/>
              <w:color w:val="1F497D"/>
            </w:rPr>
            <w:fldChar w:fldCharType="begin"/>
          </w:r>
          <w:r>
            <w:rPr>
              <w:rFonts w:ascii="Times New Roman" w:hAnsi="Times New Roman" w:eastAsia="黑体"/>
            </w:rPr>
            <w:instrText xml:space="preserve"> HYPERLINK \l _Toc22986 </w:instrText>
          </w:r>
          <w:r>
            <w:rPr>
              <w:rFonts w:ascii="Times New Roman" w:hAnsi="Times New Roman" w:eastAsia="黑体"/>
            </w:rPr>
            <w:fldChar w:fldCharType="separate"/>
          </w:r>
          <w:r>
            <w:rPr>
              <w:rFonts w:hint="eastAsia" w:eastAsia="宋体"/>
              <w:lang w:val="en-US" w:eastAsia="zh-CN"/>
            </w:rPr>
            <w:t>3</w:t>
          </w:r>
          <w:r>
            <w:t>.3.2 注入模式识别</w:t>
          </w:r>
          <w:r>
            <w:tab/>
          </w:r>
          <w:r>
            <w:fldChar w:fldCharType="begin"/>
          </w:r>
          <w:r>
            <w:instrText xml:space="preserve"> PAGEREF _Toc22986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  <w:p w14:paraId="10D74B4A">
          <w:pPr>
            <w:spacing w:line="360" w:lineRule="auto"/>
            <w:rPr>
              <w:rFonts w:hint="eastAsia" w:ascii="宋体" w:hAnsi="宋体" w:eastAsia="宋体" w:cs="宋体"/>
              <w:color w:val="1F497D"/>
              <w:sz w:val="22"/>
              <w:szCs w:val="22"/>
              <w:lang w:val="en-US" w:eastAsia="en-US" w:bidi="ar-SA"/>
            </w:rPr>
          </w:pPr>
          <w:r>
            <w:rPr>
              <w:rFonts w:ascii="Times New Roman" w:hAnsi="Times New Roman" w:eastAsia="黑体"/>
              <w:color w:val="1F497D"/>
            </w:rPr>
            <w:fldChar w:fldCharType="end"/>
          </w:r>
        </w:p>
      </w:sdtContent>
    </w:sdt>
    <w:p w14:paraId="2C672A3C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br w:type="page"/>
      </w:r>
    </w:p>
    <w:p w14:paraId="659339A3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</w:p>
    <w:p w14:paraId="00CD55B0">
      <w:pPr>
        <w:pStyle w:val="3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0" w:name="_Toc29445"/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 xml:space="preserve">  OpenClaw + </w:t>
      </w:r>
      <w:r>
        <w:rPr>
          <w:rFonts w:hint="eastAsia" w:ascii="宋体" w:hAnsi="宋体" w:eastAsia="宋体" w:cs="宋体"/>
          <w:color w:val="auto"/>
          <w:lang w:val="en-US" w:eastAsia="zh-CN"/>
        </w:rPr>
        <w:t>能碳通</w:t>
      </w:r>
      <w:r>
        <w:rPr>
          <w:rFonts w:hint="eastAsia" w:ascii="宋体" w:hAnsi="宋体" w:eastAsia="宋体" w:cs="宋体"/>
          <w:color w:val="auto"/>
        </w:rPr>
        <w:t>集成架构方案</w:t>
      </w:r>
      <w:bookmarkEnd w:id="0"/>
    </w:p>
    <w:p w14:paraId="3299006D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1" w:name="_Toc29786"/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.1  系统架构总览</w:t>
      </w:r>
      <w:bookmarkEnd w:id="1"/>
    </w:p>
    <w:p w14:paraId="5F020FE3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集成架构采用经典的四层结构，通过标准 HTTP API 将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能碳通</w:t>
      </w:r>
      <w:r>
        <w:rPr>
          <w:rFonts w:hint="eastAsia" w:ascii="宋体" w:hAnsi="宋体" w:eastAsia="宋体" w:cs="宋体"/>
          <w:sz w:val="22"/>
          <w:szCs w:val="22"/>
        </w:rPr>
        <w:t>的用户界面层与 OpenClaw 的 AI 核心层解耦，确保两个系统可以独立演进和扩展。整体架构从上到下依次为：用户层、应用服务层、AI 核心层和数据技能层。</w:t>
      </w:r>
    </w:p>
    <w:p w14:paraId="676703C2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</w:p>
    <w:p w14:paraId="36EA6BB0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┌──────────────────────────────────────────────────────────┐</w:t>
      </w:r>
    </w:p>
    <w:p w14:paraId="7960B43A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   用 户 层                        │</w:t>
      </w:r>
    </w:p>
    <w:p w14:paraId="4D2F6503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能碳通 Web 端                      │</w:t>
      </w:r>
    </w:p>
    <w:p w14:paraId="400DDE64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└──────────────────────────┬───────────────────────────────┘</w:t>
      </w:r>
    </w:p>
    <w:p w14:paraId="71054262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 xml:space="preserve">                           │ HTTP / WebSocket</w:t>
      </w:r>
    </w:p>
    <w:p w14:paraId="044D6D25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┌──────────────────────────▼───────────────────────────────┐</w:t>
      </w:r>
    </w:p>
    <w:p w14:paraId="3BCD0B5F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应 用 服 务 层                     │</w:t>
      </w:r>
    </w:p>
    <w:p w14:paraId="50C9025B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能碳通后端服务器                     │</w:t>
      </w:r>
    </w:p>
    <w:p w14:paraId="48AE06B6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(Java / Spring Boot + JWT 认证)              │</w:t>
      </w:r>
    </w:p>
    <w:p w14:paraId="79AAF922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└──────────────────────────┬───────────────────────────────┘</w:t>
      </w:r>
    </w:p>
    <w:p w14:paraId="03495313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 xml:space="preserve">                           │ OpenAI 兼容 API (Bearer Token)</w:t>
      </w:r>
    </w:p>
    <w:p w14:paraId="7A90F2F7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 xml:space="preserve">                           │ POST /v1/chat/completions</w:t>
      </w:r>
    </w:p>
    <w:p w14:paraId="54AEFA4B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┌──────────────────────────▼───────────────────────────────┐</w:t>
      </w:r>
    </w:p>
    <w:p w14:paraId="549E5A07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AI 核 心 层 (OpenClaw)                 │</w:t>
      </w:r>
    </w:p>
    <w:p w14:paraId="1D106951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┌─────────────────────────────────────────────────────┐  │</w:t>
      </w:r>
    </w:p>
    <w:p w14:paraId="432AA166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│         OpenClaw Gateway (47.97.75.102:13668)       │  │</w:t>
      </w:r>
    </w:p>
    <w:p w14:paraId="6474D93A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└───────────┬─────────────────────────────────────────┘  │</w:t>
      </w:r>
    </w:p>
    <w:p w14:paraId="31770459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│ 智能路由                                   │</w:t>
      </w:r>
    </w:p>
    <w:p w14:paraId="76977415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┌───────────▼──────┐   ┌──────────────┐   ┌───────────┐  │</w:t>
      </w:r>
    </w:p>
    <w:p w14:paraId="49B975A1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│    main Agent    │─▶ │carbon-expert │   │device-    │  │</w:t>
      </w:r>
    </w:p>
    <w:p w14:paraId="7FA93E73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└──────────────────┘   │   能碳专家   │   │expert     │  │</w:t>
      </w:r>
    </w:p>
    <w:p w14:paraId="04D3002B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 └──────────────┘   └───────────┘  │</w:t>
      </w:r>
    </w:p>
    <w:p w14:paraId="0277CD39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 ┌───────────┐                     │</w:t>
      </w:r>
    </w:p>
    <w:p w14:paraId="27C19022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 │energy-    │                     │</w:t>
      </w:r>
    </w:p>
    <w:p w14:paraId="4596024C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 │expert     │                     │</w:t>
      </w:r>
    </w:p>
    <w:p w14:paraId="2BD5F8FF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     └───────────┘                     │</w:t>
      </w:r>
    </w:p>
    <w:p w14:paraId="2A7A5D94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└──────────────────────────┬───────────────────────────────┘</w:t>
      </w:r>
    </w:p>
    <w:p w14:paraId="35BB3A3F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 xml:space="preserve">                           │ Skill 调用 (HTTP API)</w:t>
      </w:r>
    </w:p>
    <w:p w14:paraId="0BDD2CE1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┌──────────────────────────▼───────────────────────────────┐</w:t>
      </w:r>
    </w:p>
    <w:p w14:paraId="0D2657CC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         数 据 与 技 能 层                      │</w:t>
      </w:r>
    </w:p>
    <w:p w14:paraId="1EE615AF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│          能碳监控系统 API / 知识库 / 数据库              │</w:t>
      </w:r>
    </w:p>
    <w:p w14:paraId="68F3A09D">
      <w:pPr>
        <w:shd w:val="clear" w:color="auto" w:fill="F2F2F2"/>
        <w:spacing w:before="80" w:after="80" w:line="240" w:lineRule="auto"/>
        <w:ind w:left="283"/>
        <w:rPr>
          <w:rFonts w:hint="default" w:ascii="Courier New" w:hAnsi="Courier New" w:eastAsia="宋体" w:cs="Courier New"/>
          <w:sz w:val="18"/>
          <w:szCs w:val="18"/>
        </w:rPr>
      </w:pPr>
      <w:r>
        <w:rPr>
          <w:rFonts w:hint="default" w:ascii="Courier New" w:hAnsi="Courier New" w:eastAsia="宋体" w:cs="Courier New"/>
          <w:sz w:val="18"/>
          <w:szCs w:val="18"/>
        </w:rPr>
        <w:t>└──────────────────────────────────────────────────────────┘</w:t>
      </w:r>
    </w:p>
    <w:p w14:paraId="3F31E324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2" w:name="_Toc16355"/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.2  API 集成规范</w:t>
      </w:r>
      <w:bookmarkEnd w:id="2"/>
    </w:p>
    <w:p w14:paraId="2B08F989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能碳通</w:t>
      </w:r>
      <w:r>
        <w:rPr>
          <w:rFonts w:hint="eastAsia" w:ascii="宋体" w:hAnsi="宋体" w:eastAsia="宋体" w:cs="宋体"/>
          <w:sz w:val="22"/>
          <w:szCs w:val="22"/>
        </w:rPr>
        <w:t>后端服务通过以下规范与 OpenClaw Gateway 进行通信，实现标准化的 OpenAI 兼容接口调用：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6153"/>
      </w:tblGrid>
      <w:tr w14:paraId="41DEE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shd w:val="clear" w:color="auto" w:fill="1F497D"/>
          </w:tcPr>
          <w:p w14:paraId="3B83356F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color w:val="FFFFFF"/>
                <w:sz w:val="22"/>
                <w:szCs w:val="22"/>
              </w:rPr>
              <w:t>配置项</w:t>
            </w:r>
          </w:p>
        </w:tc>
        <w:tc>
          <w:tcPr>
            <w:tcW w:w="6153" w:type="dxa"/>
            <w:shd w:val="clear" w:color="auto" w:fill="1F497D"/>
          </w:tcPr>
          <w:p w14:paraId="7B0432A2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color w:val="FFFFFF"/>
                <w:sz w:val="22"/>
                <w:szCs w:val="22"/>
              </w:rPr>
              <w:t>值</w:t>
            </w:r>
          </w:p>
        </w:tc>
      </w:tr>
      <w:tr w14:paraId="6A21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shd w:val="clear" w:color="auto" w:fill="FFFFFF"/>
          </w:tcPr>
          <w:p w14:paraId="5E1A6EC9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访问路径</w:t>
            </w:r>
          </w:p>
        </w:tc>
        <w:tc>
          <w:tcPr>
            <w:tcW w:w="6153" w:type="dxa"/>
            <w:shd w:val="clear" w:color="auto" w:fill="FFFFFF"/>
          </w:tcPr>
          <w:p w14:paraId="7C257F84">
            <w:pPr>
              <w:spacing w:after="0" w:line="240" w:lineRule="auto"/>
              <w:jc w:val="left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http://47.97.75.102:13668/v1/chat/completions</w:t>
            </w:r>
          </w:p>
        </w:tc>
      </w:tr>
      <w:tr w14:paraId="091F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shd w:val="clear" w:color="auto" w:fill="EBF3FB"/>
          </w:tcPr>
          <w:p w14:paraId="33CC8C2B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请求方式</w:t>
            </w:r>
          </w:p>
        </w:tc>
        <w:tc>
          <w:tcPr>
            <w:tcW w:w="6153" w:type="dxa"/>
            <w:shd w:val="clear" w:color="auto" w:fill="EBF3FB"/>
          </w:tcPr>
          <w:p w14:paraId="241C37A5">
            <w:pPr>
              <w:spacing w:after="0" w:line="240" w:lineRule="auto"/>
              <w:jc w:val="left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POST</w:t>
            </w:r>
          </w:p>
        </w:tc>
      </w:tr>
      <w:tr w14:paraId="4E105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shd w:val="clear" w:color="auto" w:fill="EBF3FB"/>
          </w:tcPr>
          <w:p w14:paraId="35F73536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请求头</w:t>
            </w:r>
          </w:p>
        </w:tc>
        <w:tc>
          <w:tcPr>
            <w:tcW w:w="6153" w:type="dxa"/>
            <w:shd w:val="clear" w:color="auto" w:fill="EBF3FB"/>
          </w:tcPr>
          <w:p w14:paraId="0CE9F140">
            <w:pPr>
              <w:spacing w:after="0" w:line="240" w:lineRule="auto"/>
              <w:jc w:val="left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Authorization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Bearer &lt;gateway_token&gt;</w:t>
            </w:r>
          </w:p>
        </w:tc>
      </w:tr>
      <w:tr w14:paraId="14C53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shd w:val="clear" w:color="auto" w:fill="FFFFFF"/>
          </w:tcPr>
          <w:p w14:paraId="609B31B6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请求体</w:t>
            </w:r>
          </w:p>
        </w:tc>
        <w:tc>
          <w:tcPr>
            <w:tcW w:w="6153" w:type="dxa"/>
            <w:shd w:val="clear" w:color="auto" w:fill="FFFFFF"/>
          </w:tcPr>
          <w:p w14:paraId="1B1EBC67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{</w:t>
            </w:r>
          </w:p>
          <w:p w14:paraId="338357A7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3151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"model"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 xml:space="preserve">: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451A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"main"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,</w:t>
            </w:r>
          </w:p>
          <w:p w14:paraId="088C7C8D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3151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"stream"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 xml:space="preserve">: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451A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false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,</w:t>
            </w:r>
          </w:p>
          <w:p w14:paraId="12CF0F9C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3151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"user"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 xml:space="preserve">: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451A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"chatmaster_user_001"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,</w:t>
            </w:r>
          </w:p>
          <w:p w14:paraId="2F5024D0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3151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"messages"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: [</w:t>
            </w:r>
          </w:p>
          <w:p w14:paraId="39F82C96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{</w:t>
            </w:r>
          </w:p>
          <w:p w14:paraId="2A1DEACD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3151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"role"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 xml:space="preserve">: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451A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"user"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,</w:t>
            </w:r>
          </w:p>
          <w:p w14:paraId="2D5CA3AE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3151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"content"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 xml:space="preserve">: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451A5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"现在拥有哪些技能"</w:t>
            </w:r>
          </w:p>
          <w:p w14:paraId="1037EFC8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}</w:t>
            </w:r>
          </w:p>
          <w:p w14:paraId="0BA4708F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]</w:t>
            </w:r>
          </w:p>
          <w:p w14:paraId="4EAF63AA">
            <w:pPr>
              <w:keepNext w:val="0"/>
              <w:keepLines w:val="0"/>
              <w:widowControl/>
              <w:suppressLineNumbers w:val="0"/>
              <w:shd w:val="clear" w:fill="FFFFFE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shd w:val="clear" w:fill="FFFFFE"/>
                <w:lang w:val="en-US" w:eastAsia="zh-CN" w:bidi="ar"/>
              </w:rPr>
              <w:t>}</w:t>
            </w:r>
          </w:p>
          <w:p w14:paraId="539FD32C">
            <w:pPr>
              <w:spacing w:after="0" w:line="240" w:lineRule="auto"/>
              <w:jc w:val="left"/>
            </w:pPr>
          </w:p>
        </w:tc>
      </w:tr>
    </w:tbl>
    <w:p w14:paraId="3C768D60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</w:p>
    <w:p w14:paraId="1A10ABF9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请求体中的 user 字段必须传递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能碳通</w:t>
      </w:r>
      <w:r>
        <w:rPr>
          <w:rFonts w:hint="eastAsia" w:ascii="宋体" w:hAnsi="宋体" w:eastAsia="宋体" w:cs="宋体"/>
          <w:sz w:val="22"/>
          <w:szCs w:val="22"/>
        </w:rPr>
        <w:t>系统中的唯一用户标识符。OpenClaw Gateway 会基于此标识符为每个用户创建独立且持久的会话，保证多轮对话的上下文连续性。</w:t>
      </w:r>
    </w:p>
    <w:p w14:paraId="72AEA173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3" w:name="_Toc16477"/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.3  数据与交互流程</w:t>
      </w:r>
      <w:bookmarkEnd w:id="3"/>
    </w:p>
    <w:p w14:paraId="6E19ED55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系统交互遵循清晰的八步流程，确保请求的准确处理和高效响应：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243"/>
        <w:gridCol w:w="6469"/>
      </w:tblGrid>
      <w:tr w14:paraId="3908A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1F497D"/>
          </w:tcPr>
          <w:p w14:paraId="65AFD062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color w:val="FFFFFF"/>
                <w:sz w:val="22"/>
                <w:szCs w:val="22"/>
              </w:rPr>
              <w:t>步骤</w:t>
            </w:r>
          </w:p>
        </w:tc>
        <w:tc>
          <w:tcPr>
            <w:tcW w:w="1243" w:type="dxa"/>
            <w:shd w:val="clear" w:color="auto" w:fill="1F497D"/>
          </w:tcPr>
          <w:p w14:paraId="59CB4AEA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color w:val="FFFFFF"/>
                <w:sz w:val="22"/>
                <w:szCs w:val="22"/>
              </w:rPr>
              <w:t>环节</w:t>
            </w:r>
          </w:p>
        </w:tc>
        <w:tc>
          <w:tcPr>
            <w:tcW w:w="6469" w:type="dxa"/>
            <w:shd w:val="clear" w:color="auto" w:fill="1F497D"/>
          </w:tcPr>
          <w:p w14:paraId="0D0286F5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color w:val="FFFFFF"/>
                <w:sz w:val="22"/>
                <w:szCs w:val="22"/>
              </w:rPr>
              <w:t>描述</w:t>
            </w:r>
          </w:p>
        </w:tc>
      </w:tr>
      <w:tr w14:paraId="2238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FFFFFF"/>
          </w:tcPr>
          <w:p w14:paraId="7B921520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243" w:type="dxa"/>
            <w:shd w:val="clear" w:color="auto" w:fill="FFFFFF"/>
          </w:tcPr>
          <w:p w14:paraId="58464AA2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用户提问</w:t>
            </w:r>
          </w:p>
        </w:tc>
        <w:tc>
          <w:tcPr>
            <w:tcW w:w="6469" w:type="dxa"/>
            <w:shd w:val="clear" w:color="auto" w:fill="FFFFFF"/>
          </w:tcPr>
          <w:p w14:paraId="22E25B31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用户通过 ChatMaster 聊天界面输入关于能碳管理的问题</w:t>
            </w:r>
          </w:p>
        </w:tc>
      </w:tr>
      <w:tr w14:paraId="46A9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EBF3FB"/>
          </w:tcPr>
          <w:p w14:paraId="497AE412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243" w:type="dxa"/>
            <w:shd w:val="clear" w:color="auto" w:fill="EBF3FB"/>
          </w:tcPr>
          <w:p w14:paraId="11DEE6AD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API 请求</w:t>
            </w:r>
          </w:p>
        </w:tc>
        <w:tc>
          <w:tcPr>
            <w:tcW w:w="6469" w:type="dxa"/>
            <w:shd w:val="clear" w:color="auto" w:fill="EBF3FB"/>
          </w:tcPr>
          <w:p w14:paraId="298BEB11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ChatMaster 后端将问题封装成API 请求，发送至 OpenClaw Gateway</w:t>
            </w:r>
          </w:p>
        </w:tc>
      </w:tr>
      <w:tr w14:paraId="729B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FFFFFF"/>
          </w:tcPr>
          <w:p w14:paraId="1B146C6B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243" w:type="dxa"/>
            <w:shd w:val="clear" w:color="auto" w:fill="FFFFFF"/>
          </w:tcPr>
          <w:p w14:paraId="78578025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智能路由</w:t>
            </w:r>
          </w:p>
        </w:tc>
        <w:tc>
          <w:tcPr>
            <w:tcW w:w="6469" w:type="dxa"/>
            <w:shd w:val="clear" w:color="auto" w:fill="FFFFFF"/>
          </w:tcPr>
          <w:p w14:paraId="4AA02EC1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main Agent 分析问题意图，使用 /agent 命令将任务分发给最合适的专家</w:t>
            </w:r>
          </w:p>
        </w:tc>
      </w:tr>
      <w:tr w14:paraId="01AB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EBF3FB"/>
          </w:tcPr>
          <w:p w14:paraId="28A1BD99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243" w:type="dxa"/>
            <w:shd w:val="clear" w:color="auto" w:fill="EBF3FB"/>
          </w:tcPr>
          <w:p w14:paraId="1AB4CC84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专家处理</w:t>
            </w:r>
          </w:p>
        </w:tc>
        <w:tc>
          <w:tcPr>
            <w:tcW w:w="6469" w:type="dxa"/>
            <w:shd w:val="clear" w:color="auto" w:fill="EBF3FB"/>
          </w:tcPr>
          <w:p w14:paraId="129458FA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领域专家 Agent 接收问题，结合自身知识库进行分析</w:t>
            </w:r>
          </w:p>
        </w:tc>
      </w:tr>
      <w:tr w14:paraId="2CBD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FFFFFF"/>
          </w:tcPr>
          <w:p w14:paraId="162C24EB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243" w:type="dxa"/>
            <w:shd w:val="clear" w:color="auto" w:fill="FFFFFF"/>
          </w:tcPr>
          <w:p w14:paraId="15115C86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技能调用</w:t>
            </w:r>
          </w:p>
        </w:tc>
        <w:tc>
          <w:tcPr>
            <w:tcW w:w="6469" w:type="dxa"/>
            <w:shd w:val="clear" w:color="auto" w:fill="FFFFFF"/>
          </w:tcPr>
          <w:p w14:paraId="29225B79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专家 Agent 调用预定义 Skills，通过 API 与能碳监控系统交互获取实时数据</w:t>
            </w:r>
          </w:p>
        </w:tc>
      </w:tr>
      <w:tr w14:paraId="3E24D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EBF3FB"/>
          </w:tcPr>
          <w:p w14:paraId="0E626C37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243" w:type="dxa"/>
            <w:shd w:val="clear" w:color="auto" w:fill="EBF3FB"/>
          </w:tcPr>
          <w:p w14:paraId="3639E15E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生成响应</w:t>
            </w:r>
          </w:p>
        </w:tc>
        <w:tc>
          <w:tcPr>
            <w:tcW w:w="6469" w:type="dxa"/>
            <w:shd w:val="clear" w:color="auto" w:fill="EBF3FB"/>
          </w:tcPr>
          <w:p w14:paraId="4588A42B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专家 Agent 整合知识和数据，生成全面、专业的回答</w:t>
            </w:r>
          </w:p>
        </w:tc>
      </w:tr>
      <w:tr w14:paraId="44FB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FFFFFF"/>
          </w:tcPr>
          <w:p w14:paraId="175A9517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243" w:type="dxa"/>
            <w:shd w:val="clear" w:color="auto" w:fill="FFFFFF"/>
          </w:tcPr>
          <w:p w14:paraId="0197CC95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返回响应</w:t>
            </w:r>
          </w:p>
        </w:tc>
        <w:tc>
          <w:tcPr>
            <w:tcW w:w="6469" w:type="dxa"/>
            <w:shd w:val="clear" w:color="auto" w:fill="FFFFFF"/>
          </w:tcPr>
          <w:p w14:paraId="21AFFEDC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响应通过 OpenClaw Gateway 以 SSE 流式形式返回给 ChatMaster 后端</w:t>
            </w:r>
          </w:p>
        </w:tc>
      </w:tr>
      <w:tr w14:paraId="2063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shd w:val="clear" w:color="auto" w:fill="EBF3FB"/>
          </w:tcPr>
          <w:p w14:paraId="52C26267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243" w:type="dxa"/>
            <w:shd w:val="clear" w:color="auto" w:fill="EBF3FB"/>
          </w:tcPr>
          <w:p w14:paraId="4D9DE9C7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呈现结果</w:t>
            </w:r>
          </w:p>
        </w:tc>
        <w:tc>
          <w:tcPr>
            <w:tcW w:w="6469" w:type="dxa"/>
            <w:shd w:val="clear" w:color="auto" w:fill="EBF3FB"/>
          </w:tcPr>
          <w:p w14:paraId="596D190B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ChatMaster 后端将响应实时推送给前端界面，以打印机效果呈现给用户</w:t>
            </w:r>
          </w:p>
        </w:tc>
      </w:tr>
    </w:tbl>
    <w:p w14:paraId="7DB00498">
      <w:pPr>
        <w:spacing w:line="360" w:lineRule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br w:type="page"/>
      </w:r>
    </w:p>
    <w:p w14:paraId="77661003">
      <w:pPr>
        <w:pStyle w:val="3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4" w:name="_Toc24734"/>
      <w:r>
        <w:rPr>
          <w:rFonts w:hint="eastAsia" w:ascii="宋体" w:hAnsi="宋体" w:eastAsia="宋体" w:cs="宋体"/>
          <w:color w:va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</w:rPr>
        <w:t xml:space="preserve">  </w:t>
      </w:r>
      <w:r>
        <w:rPr>
          <w:rFonts w:hint="eastAsia" w:ascii="宋体" w:hAnsi="宋体" w:eastAsia="宋体" w:cs="宋体"/>
          <w:color w:val="auto"/>
          <w:lang w:val="en-US" w:eastAsia="zh-CN"/>
        </w:rPr>
        <w:t>能碳通</w:t>
      </w:r>
      <w:r>
        <w:rPr>
          <w:rFonts w:hint="eastAsia" w:ascii="宋体" w:hAnsi="宋体" w:eastAsia="宋体" w:cs="宋体"/>
          <w:color w:val="auto"/>
        </w:rPr>
        <w:t>管理端 Skill 管理功能规划</w:t>
      </w:r>
      <w:bookmarkEnd w:id="4"/>
    </w:p>
    <w:p w14:paraId="15AD3412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5" w:name="_Toc31232"/>
      <w:r>
        <w:rPr>
          <w:rFonts w:hint="eastAsia" w:ascii="宋体" w:hAnsi="宋体" w:eastAsia="宋体" w:cs="宋体"/>
          <w:color w:va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</w:rPr>
        <w:t>.</w:t>
      </w:r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 xml:space="preserve">  功能模块规划</w:t>
      </w:r>
      <w:bookmarkEnd w:id="5"/>
    </w:p>
    <w:p w14:paraId="45AEDE11">
      <w:pPr>
        <w:pStyle w:val="5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</w:rPr>
        <w:t>.</w:t>
      </w:r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.1  Skill 库管理</w:t>
      </w:r>
    </w:p>
    <w:p w14:paraId="6923D61A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Skill 库管理是整个模块的基础，提供集中化的界面来维护所有 AI 技能。管理员可以创建、编辑、删除和启用/禁用技能，每个技能需要定义其唯一 ID、名称、功能描述（包含输入参数和输出结果说明）、关联的 Agent 以及当前状态。系统还提供按名称、ID 或描述进行搜索的功能，方便快速定位特定技能。</w:t>
      </w:r>
    </w:p>
    <w:p w14:paraId="6D80E4A5">
      <w:pPr>
        <w:pStyle w:val="5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</w:rPr>
        <w:t>.</w:t>
      </w:r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 xml:space="preserve">.2  角色与权限管理 </w:t>
      </w:r>
    </w:p>
    <w:p w14:paraId="2E7BB424">
      <w:pPr>
        <w:spacing w:before="60" w:after="60" w:line="360" w:lineRule="auto"/>
        <w:ind w:firstLine="48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引入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用户</w:t>
      </w:r>
      <w:r>
        <w:rPr>
          <w:rFonts w:hint="eastAsia" w:ascii="宋体" w:hAnsi="宋体" w:eastAsia="宋体" w:cs="宋体"/>
          <w:sz w:val="22"/>
          <w:szCs w:val="22"/>
        </w:rPr>
        <w:t>访问控制机制，实现对 Skill 的精细化授权。系统管理员可以为每个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账号</w:t>
      </w:r>
      <w:r>
        <w:rPr>
          <w:rFonts w:hint="eastAsia" w:ascii="宋体" w:hAnsi="宋体" w:eastAsia="宋体" w:cs="宋体"/>
          <w:sz w:val="22"/>
          <w:szCs w:val="22"/>
        </w:rPr>
        <w:t>精确地勾选其可以访问的 Skill 列表，实现最小权限原则。</w:t>
      </w:r>
    </w:p>
    <w:p w14:paraId="3629D8B6">
      <w:pPr>
        <w:pStyle w:val="5"/>
        <w:bidi w:val="0"/>
        <w:spacing w:line="360" w:lineRule="auto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</w:rPr>
        <w:t>.</w:t>
      </w:r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.3  账号</w:t>
      </w:r>
      <w:r>
        <w:rPr>
          <w:rFonts w:hint="eastAsia" w:ascii="宋体" w:hAnsi="宋体" w:eastAsia="宋体" w:cs="宋体"/>
          <w:color w:val="auto"/>
          <w:lang w:val="en-US" w:eastAsia="zh-CN"/>
        </w:rPr>
        <w:t>管理</w:t>
      </w:r>
    </w:p>
    <w:p w14:paraId="749BB06C">
      <w:pPr>
        <w:spacing w:before="60" w:after="60" w:line="360" w:lineRule="auto"/>
        <w:ind w:firstLine="480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将定义好的角色与具体的用户账号关联起来。在 ChatMaster 的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技能管理</w:t>
      </w:r>
      <w:r>
        <w:rPr>
          <w:rFonts w:hint="eastAsia" w:ascii="宋体" w:hAnsi="宋体" w:eastAsia="宋体" w:cs="宋体"/>
          <w:sz w:val="22"/>
          <w:szCs w:val="22"/>
        </w:rPr>
        <w:t>（用户管理模块）中，为每个用户账号指定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是否拥有使用openClaw的权限</w:t>
      </w:r>
      <w:r>
        <w:rPr>
          <w:rFonts w:hint="eastAsia" w:ascii="宋体" w:hAnsi="宋体" w:eastAsia="宋体" w:cs="宋体"/>
          <w:sz w:val="22"/>
          <w:szCs w:val="22"/>
        </w:rPr>
        <w:t>。用户账号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配置相关内容，下载对应skill。</w:t>
      </w:r>
    </w:p>
    <w:p w14:paraId="42D239C3">
      <w:pPr>
        <w:pStyle w:val="3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6" w:name="_Toc25048"/>
      <w:r>
        <w:rPr>
          <w:rFonts w:hint="eastAsia" w:ascii="宋体" w:hAnsi="宋体" w:eastAsia="宋体" w:cs="宋体"/>
          <w:color w:va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</w:rPr>
        <w:t xml:space="preserve"> OpenClaw 安全机制</w:t>
      </w:r>
      <w:bookmarkEnd w:id="6"/>
    </w:p>
    <w:p w14:paraId="01DE98FC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7" w:name="_Toc26373"/>
      <w:r>
        <w:rPr>
          <w:rFonts w:hint="eastAsia" w:ascii="宋体" w:hAnsi="宋体" w:eastAsia="宋体" w:cs="宋体"/>
          <w:color w:va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</w:rPr>
        <w:t>.1 Skill 安全</w:t>
      </w:r>
      <w:r>
        <w:rPr>
          <w:rFonts w:hint="eastAsia" w:ascii="宋体" w:hAnsi="宋体" w:eastAsia="宋体" w:cs="宋体"/>
          <w:color w:val="auto"/>
          <w:lang w:val="en-US" w:eastAsia="zh-CN"/>
        </w:rPr>
        <w:t>检测与</w:t>
      </w:r>
      <w:r>
        <w:rPr>
          <w:rFonts w:hint="eastAsia" w:ascii="宋体" w:hAnsi="宋体" w:eastAsia="宋体" w:cs="宋体"/>
          <w:color w:val="auto"/>
        </w:rPr>
        <w:t>上传机制</w:t>
      </w:r>
      <w:bookmarkEnd w:id="7"/>
    </w:p>
    <w:p w14:paraId="332164BA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为了丰富能碳监控系统的 AI 能力，系统引入了 Skill 商店模块。Skill 商店允许开发者和管理员上传、分享和安装自定义的 OpenClaw 技能（Skills/Plugins）。考虑到外部代码的潜在风险，Skill 上传机制内置了严格的双重安全检查流程，确保所有安装到 OpenClaw Gateway 的技能都是安全可靠的。</w:t>
      </w:r>
    </w:p>
    <w:p w14:paraId="71432824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第一重检查是代码静态扫描。当用户上传 Skill 压缩包（包含说明文件及相关脚本）时，系统首先进行静态代码扫描。该扫描主要检查是否存在恶意系统调用（如 os.system、child_process.exec 的不当使用）、是否包含未授权的网络请求，以及文件读写权限是否越界。同时，系统会验证 openclaw.plugin.json 的 configSchema 是否符合规范，确保配置项的安全性。</w:t>
      </w:r>
    </w:p>
    <w:p w14:paraId="65E3F714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第二重检查是大模型智能审计。静态扫描通过后，系统将 Skill 的核心代码和描述文件提交给专门的安全审计大模型。大模型会从语义和逻辑层面分析代码意图，判断其是否存在逻辑漏洞、Prompt 注入风险或数据泄露隐患。只有当静态扫描和大模型审计均返回“安全”结果时，该 Skill 才会被允许上架并安装到 OpenClaw 的扩展目录中。</w:t>
      </w:r>
    </w:p>
    <w:p w14:paraId="0DC591EF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8" w:name="_Toc22351"/>
      <w:bookmarkEnd w:id="8"/>
      <w:r>
        <w:rPr>
          <w:rFonts w:hint="eastAsia" w:ascii="宋体" w:hAnsi="宋体" w:eastAsia="宋体" w:cs="宋体"/>
          <w:color w:val="auto"/>
          <w:lang w:val="en-US" w:eastAsia="zh-CN"/>
        </w:rPr>
        <w:t xml:space="preserve">3.2 用户使用安全权限管控</w:t>
      </w:r>
    </w:p>
    <w:p w14:paraId="38EDE669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 xml:space="preserve">为防止越权操作和数据泄露，系统基于 OpenClaw 的 Docker 容器沙箱机制，设计并实施了强制性的硬隔离架构。该架构遵循“主从隔离、最小权限”原则，通过操作系统级别的容器隔离手段，从根本上杀绝了 Agent 越权访问的可能性，而非依赖模型自身的指令遵从性。</w:t>
      </w:r>
    </w:p>
    <w:p w14:paraId="38EDE669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 xml:space="preserve">main Agent 作为主路由和控制中心，其沙箱模式设置为 off，直接运行于宿主机进程中，拥有对服务器全局文件系统的访问权限。它负责跨工作区的任务调度、资源分发（如将 OSS 文件下载至指定子 Agent 工作区）以及控制平面操作（如 gateway、cron、sessions_spawn）。所有需要访问工作区外部资源的操作，均须通过 main Agent 代理执行。</w:t>
      </w:r>
    </w:p>
    <w:p w14:paraId="38EDE669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 xml:space="preserve">其他所有子 Agent 均运行在独立的 Docker 容器中，沙箱模式为 non-main，容器内仅挂载该 Agent 专属的工作区目录（/home/admin/.openclaw/workspace-{userId}），宿主机上的其他任何路径在容器内均不可见、不可访问。以下是子 Agent 的权限管控详情：</w:t>
      </w:r>
    </w:p>
    <w:tbl>
      <w:tblPr>
        <w:tblStyle w:val="TableGrid"/>
        <w:tblW w:w="9360" w:type="dxa"/>
      </w:tblPr>
      <w:tblGrid>
        <w:gridCol w:w="2000"/>
        <w:gridCol w:w="7360"/>
      </w:tblGrid>
      <w:tr>
        <w:tc>
          <w:tcPr>
            <w:tcW w:w="2000" w:type="dxa"/>
          </w:tcPr>
          <w:p>
            <w:r>
              <w:rPr>
                <w:b/>
              </w:rPr>
              <w:t xml:space="preserve">权限维度</w:t>
            </w:r>
          </w:p>
        </w:tc>
        <w:tc>
          <w:tcPr>
            <w:tcW w:w="7360" w:type="dxa"/>
          </w:tcPr>
          <w:p>
            <w:r>
              <w:rPr>
                <w:b/>
              </w:rPr>
              <w:t xml:space="preserve">管控策略描述</w:t>
            </w:r>
          </w:p>
        </w:tc>
      </w:tr>
      <w:tr>
        <w:tc>
          <w:tcPr>
            <w:tcW w:w="2000" w:type="dxa"/>
          </w:tcPr>
          <w:p>
            <w:r>
              <w:t xml:space="preserve">工作区硬隔离</w:t>
            </w:r>
          </w:p>
        </w:tc>
        <w:tc>
          <w:tcPr>
            <w:tcW w:w="7360" w:type="dxa"/>
          </w:tcPr>
          <w:p>
            <w:r>
              <w:t xml:space="preserve">每个子 Agent 运行于独立 Docker 容器，容器内仅挂载自身工作区目录（workspaceAccess: rw）。即使用户在对话中明确指定其他路径（如 /home/admin/.openclaw），容器内该路径根本不存在，Agent 无法访问，从系统层面杀绝越权。</w:t>
            </w:r>
          </w:p>
        </w:tc>
      </w:tr>
      <w:tr>
        <w:tc>
          <w:tcPr>
            <w:tcW w:w="2000" w:type="dxa"/>
          </w:tcPr>
          <w:p>
            <w:r>
              <w:t xml:space="preserve">外部工具禁用</w:t>
            </w:r>
          </w:p>
        </w:tc>
        <w:tc>
          <w:tcPr>
            <w:tcW w:w="7360" w:type="dxa"/>
          </w:tcPr>
          <w:p>
            <w:r>
              <w:t xml:space="preserve">沙箱容器内不包含 ossutil、curl、wget 等宿主机工具。所有需要访问外部资源（如 OSS 文件下载）的操作，必须由 main Agent 在宿主机上执行后，将结果写入目标工作区，子 Agent 再从工作区读取。</w:t>
            </w:r>
          </w:p>
        </w:tc>
      </w:tr>
      <w:tr>
        <w:tc>
          <w:tcPr>
            <w:tcW w:w="2000" w:type="dxa"/>
          </w:tcPr>
          <w:p>
            <w:r>
              <w:t xml:space="preserve">文件操作二次确认</w:t>
            </w:r>
          </w:p>
        </w:tc>
        <w:tc>
          <w:tcPr>
            <w:tcW w:w="7360" w:type="dxa"/>
          </w:tcPr>
          <w:p>
            <w:r>
              <w:t xml:space="preserve">通过在每个 Agent 工作区的 AGENTS.md 中写入强制性 Red Lines 规则，要求 Agent 在执行任何文件写入（write、edit、apply_patch）或删除（rm、rmdir）操作前，必须向用户明确说明操作内容并获得确认后方可执行。</w:t>
            </w:r>
          </w:p>
        </w:tc>
      </w:tr>
      <w:tr>
        <w:tc>
          <w:tcPr>
            <w:tcW w:w="2000" w:type="dxa"/>
          </w:tcPr>
          <w:p>
            <w:r>
              <w:t xml:space="preserve">数据访问限制</w:t>
            </w:r>
          </w:p>
        </w:tc>
        <w:tc>
          <w:tcPr>
            <w:tcW w:w="7360" w:type="dxa"/>
          </w:tcPr>
          <w:p>
            <w:r>
              <w:t xml:space="preserve">对于能碳监控系统的底层数据库，子 Agent 仅被授予只读（Read-Only）权限，可通过 API 查询实时数据和历史记录，但绝对禁止执行任何修改、删除或写入操作。</w:t>
            </w:r>
          </w:p>
        </w:tc>
      </w:tr>
    </w:tbl>
    <w:p w14:paraId="38EDE669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 xml:space="preserve"/>
      </w:r>
    </w:p>
    <w:p w14:paraId="38EDE669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 xml:space="preserve">通过上述 Docker 容器级硬隔离设计，即使某个子 Agent 遇到 Prompt 注入攻击，攻击者所能触及的范围也被严格限制在该 Agent 的工作区目录和只读数据权限之内，从根本上保障了整个能碳监控系统的核心安全。</w:t>
      </w:r>
    </w:p>
    <w:p w14:paraId="71B754D7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9" w:name="_Toc9516"/>
      <w:r>
        <w:rPr>
          <w:rFonts w:hint="eastAsia" w:ascii="宋体" w:hAnsi="宋体" w:eastAsia="宋体" w:cs="宋体"/>
          <w:color w:va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</w:rPr>
        <w:t>.3 Prompt 注入与危险命令代码级检测机制</w:t>
      </w:r>
      <w:bookmarkEnd w:id="9"/>
    </w:p>
    <w:p w14:paraId="295DA70C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为了进一步防范 Prompt 注入攻击（Prompt Injection）以及恶意指令执行，系统在 Agent 接收用户输入和执行底层工具（如 Shell 执行、数据库查询）之间，增加了一层代码级指令检测拦截器。该机制通过正则表达式和模式匹配，在执行前对输入内容和生成的命令进行严格审</w:t>
      </w:r>
      <w:bookmarkStart w:id="12" w:name="_GoBack"/>
      <w:bookmarkEnd w:id="12"/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查。</w:t>
      </w:r>
    </w:p>
    <w:p w14:paraId="66A2E131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10" w:name="_Toc17621"/>
      <w:r>
        <w:rPr>
          <w:rFonts w:hint="eastAsia" w:ascii="宋体" w:hAnsi="宋体" w:eastAsia="宋体" w:cs="宋体"/>
          <w:color w:va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</w:rPr>
        <w:t>.3.1 危险命令拦截</w:t>
      </w:r>
      <w:bookmarkEnd w:id="10"/>
    </w:p>
    <w:p w14:paraId="65FB2814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系统内置了高危命令黑名单，拦截任何试图破坏系统、窃取数据或越权访问的指令。拦截范围包括但不限于：</w:t>
      </w:r>
    </w:p>
    <w:p w14:paraId="0F3AF651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•文件破坏命令：rm、rmdir、mv、truncate 等。</w:t>
      </w:r>
    </w:p>
    <w:p w14:paraId="6AEBB08B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•系统提权与控制：sudo、su、chmod、chown、kill 等。</w:t>
      </w:r>
    </w:p>
    <w:p w14:paraId="2595EE5B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•网络外发与下载：curl、wget、nc、ping 等。</w:t>
      </w:r>
    </w:p>
    <w:p w14:paraId="55032E9B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•敏感文件读取：/etc/passwd、/etc/shadow、~/.ssh/ 等。</w:t>
      </w:r>
    </w:p>
    <w:p w14:paraId="79F02D1A">
      <w:pPr>
        <w:pStyle w:val="4"/>
        <w:bidi w:val="0"/>
        <w:spacing w:line="360" w:lineRule="auto"/>
        <w:rPr>
          <w:rFonts w:hint="eastAsia" w:ascii="宋体" w:hAnsi="宋体" w:eastAsia="宋体" w:cs="宋体"/>
          <w:color w:val="auto"/>
        </w:rPr>
      </w:pPr>
      <w:bookmarkStart w:id="11" w:name="_Toc22986"/>
      <w:r>
        <w:rPr>
          <w:rFonts w:hint="eastAsia" w:ascii="宋体" w:hAnsi="宋体" w:eastAsia="宋体" w:cs="宋体"/>
          <w:color w:va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</w:rPr>
        <w:t>.3.2 注入模式识别</w:t>
      </w:r>
      <w:bookmarkEnd w:id="11"/>
    </w:p>
    <w:p w14:paraId="1F3CDE52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除了硬编码的命令拦截，检测器还会识别常见的 Prompt 注入特征模式，例如：</w:t>
      </w:r>
    </w:p>
    <w:p w14:paraId="3373C8CC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•忽略前置指令：检测如“Ignore previous instructions”、“Forget all rules”等越权尝试。</w:t>
      </w:r>
    </w:p>
    <w:p w14:paraId="16932CC3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•系统角色伪装：检测用户试图伪装成“System”、“Admin”或“Developer”的输入。</w:t>
      </w:r>
    </w:p>
    <w:p w14:paraId="0B52DC1F">
      <w:pPr>
        <w:keepNext w:val="0"/>
        <w:keepLines w:val="0"/>
        <w:widowControl/>
        <w:suppressLineNumbers w:val="0"/>
        <w:spacing w:line="360" w:lineRule="auto"/>
        <w:ind w:firstLine="720" w:firstLineChars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 w:bidi="ar"/>
        </w:rPr>
        <w:t>•特殊符号逃逸：检测异常的管道符（|）、重定向符（&gt;、&gt;&gt;）、命令拼接符（&amp;&amp;、;）以及反引号（`）。</w:t>
      </w:r>
    </w:p>
    <w:p w14:paraId="65A2F21A">
      <w:pPr>
        <w:spacing w:before="60" w:after="60" w:line="360" w:lineRule="auto"/>
        <w:rPr>
          <w:rFonts w:hint="eastAsia" w:ascii="宋体" w:hAnsi="宋体" w:eastAsia="宋体" w:cs="宋体"/>
          <w:sz w:val="22"/>
          <w:szCs w:val="22"/>
        </w:rPr>
      </w:pPr>
    </w:p>
    <w:sectPr>
      <w:footerReference r:id="rId5" w:type="default"/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DD12B">
    <w:pPr>
      <w:pStyle w:val="24"/>
      <w:jc w:val="center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</w:instrText>
    </w:r>
    <w:r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E035AA"/>
    <w:rsid w:val="26316CF5"/>
    <w:rsid w:val="393E233B"/>
    <w:rsid w:val="4D4A2160"/>
    <w:rsid w:val="5EBA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Ascii" w:hAnsiTheme="majorAsci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qFormat/>
    <w:uiPriority w:val="39"/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uiPriority w:val="99"/>
  </w:style>
  <w:style w:type="character" w:customStyle="1" w:styleId="138">
    <w:name w:val="Footer Char"/>
    <w:basedOn w:val="134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uiPriority w:val="9"/>
    <w:rPr>
      <w:rFonts w:asciiTheme="majorAscii" w:hAnsiTheme="majorAsci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30"/>
    <w:uiPriority w:val="99"/>
  </w:style>
  <w:style w:type="character" w:customStyle="1" w:styleId="148">
    <w:name w:val="Body Text 3 Char"/>
    <w:basedOn w:val="134"/>
    <w:link w:val="17"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154</Words>
  <Characters>216</Characters>
  <Lines>0</Lines>
  <Paragraphs>0</Paragraphs>
  <TotalTime>7</TotalTime>
  <ScaleCrop>false</ScaleCrop>
  <LinksUpToDate>false</LinksUpToDate>
  <CharactersWithSpaces>259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cyh</cp:lastModifiedBy>
  <dcterms:modified xsi:type="dcterms:W3CDTF">2026-03-11T06:46:53Z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eyJoZGlkIjoiMDY1ZjY3ZDAzMDI1NDg3MWY2NTg4OGM2OGY0ZjA0YWIiLCJ1c2VySWQiOiI0MjMwMTc2NTIifQ==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4331037E275E422A914B3CA262383111_13</vt:lpwstr>
  </property>
</Properties>
</file>